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F" w:rsidRDefault="00A3474D" w:rsidP="005E39EC">
      <w:pPr>
        <w:pStyle w:val="Default"/>
        <w:jc w:val="both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-27940</wp:posOffset>
                </wp:positionV>
                <wp:extent cx="6838950" cy="80886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0886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5pt;margin-top:-2.2pt;width:538.5pt;height:6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" filled="f">
                <v:stroke dashstyle="1 1" endcap="round"/>
              </v:rect>
            </w:pict>
          </mc:Fallback>
        </mc:AlternateContent>
      </w:r>
      <w:r w:rsidR="00D830CF">
        <w:rPr>
          <w:sz w:val="18"/>
          <w:szCs w:val="18"/>
        </w:rPr>
        <w:t xml:space="preserve">This information sheet outlines the requirements for all staff </w:t>
      </w:r>
      <w:r w:rsidR="00FD4299">
        <w:rPr>
          <w:sz w:val="18"/>
          <w:szCs w:val="18"/>
        </w:rPr>
        <w:t xml:space="preserve">to comply with </w:t>
      </w:r>
      <w:r w:rsidR="00C9635A">
        <w:rPr>
          <w:sz w:val="18"/>
          <w:szCs w:val="18"/>
        </w:rPr>
        <w:t>t</w:t>
      </w:r>
      <w:r w:rsidR="00FD4299">
        <w:rPr>
          <w:sz w:val="18"/>
          <w:szCs w:val="18"/>
        </w:rPr>
        <w:t xml:space="preserve">he </w:t>
      </w:r>
      <w:r w:rsidR="00FD4299" w:rsidRPr="00910D31">
        <w:rPr>
          <w:sz w:val="18"/>
          <w:szCs w:val="18"/>
        </w:rPr>
        <w:t xml:space="preserve">Sinai </w:t>
      </w:r>
      <w:r w:rsidR="00D830CF">
        <w:rPr>
          <w:sz w:val="18"/>
          <w:szCs w:val="18"/>
        </w:rPr>
        <w:t xml:space="preserve">Health </w:t>
      </w:r>
      <w:r w:rsidR="00FD4299">
        <w:rPr>
          <w:sz w:val="18"/>
          <w:szCs w:val="18"/>
        </w:rPr>
        <w:t>Immunization</w:t>
      </w:r>
      <w:r w:rsidR="009B0E45">
        <w:rPr>
          <w:sz w:val="18"/>
          <w:szCs w:val="18"/>
        </w:rPr>
        <w:t xml:space="preserve"> &amp;</w:t>
      </w:r>
      <w:r w:rsidR="00FD4299">
        <w:rPr>
          <w:sz w:val="18"/>
          <w:szCs w:val="18"/>
        </w:rPr>
        <w:t xml:space="preserve"> Surveillance Policy, which is based upon the OMA/OHA Communicable Disease Surveillance Protocols for Ontario Hospitals. </w:t>
      </w:r>
      <w:r w:rsidR="00FD37A0">
        <w:rPr>
          <w:sz w:val="18"/>
          <w:szCs w:val="18"/>
        </w:rPr>
        <w:t xml:space="preserve"> </w:t>
      </w:r>
      <w:r w:rsidR="00FD4299">
        <w:rPr>
          <w:sz w:val="18"/>
          <w:szCs w:val="18"/>
        </w:rPr>
        <w:t xml:space="preserve">The attached Immunization Record is to be completed by either a </w:t>
      </w:r>
      <w:r w:rsidR="00FD4299">
        <w:rPr>
          <w:i/>
          <w:iCs/>
          <w:sz w:val="18"/>
          <w:szCs w:val="18"/>
        </w:rPr>
        <w:t>physician or, if appropriate, the Occupational Health Nurse</w:t>
      </w:r>
      <w:r w:rsidR="00FD4299">
        <w:rPr>
          <w:sz w:val="18"/>
          <w:szCs w:val="18"/>
        </w:rPr>
        <w:t xml:space="preserve"> at your previous employer and must </w:t>
      </w:r>
      <w:r w:rsidR="00350038">
        <w:rPr>
          <w:sz w:val="18"/>
          <w:szCs w:val="18"/>
        </w:rPr>
        <w:t xml:space="preserve">be </w:t>
      </w:r>
      <w:r w:rsidR="00FD4299">
        <w:rPr>
          <w:sz w:val="18"/>
          <w:szCs w:val="18"/>
        </w:rPr>
        <w:t>returned to Occupational Health</w:t>
      </w:r>
      <w:r w:rsidR="00D830CF">
        <w:rPr>
          <w:sz w:val="18"/>
          <w:szCs w:val="18"/>
        </w:rPr>
        <w:t xml:space="preserve"> (OH) </w:t>
      </w:r>
      <w:r w:rsidR="00FD4299">
        <w:rPr>
          <w:sz w:val="18"/>
          <w:szCs w:val="18"/>
        </w:rPr>
        <w:t xml:space="preserve">by fax to </w:t>
      </w:r>
      <w:r w:rsidR="001C002F">
        <w:rPr>
          <w:b/>
          <w:bCs/>
          <w:sz w:val="20"/>
          <w:szCs w:val="20"/>
        </w:rPr>
        <w:t>416-470-6725</w:t>
      </w:r>
      <w:r w:rsidR="00C9635A">
        <w:rPr>
          <w:sz w:val="18"/>
          <w:szCs w:val="18"/>
        </w:rPr>
        <w:t xml:space="preserve"> </w:t>
      </w:r>
      <w:r w:rsidR="001136ED">
        <w:rPr>
          <w:sz w:val="18"/>
          <w:szCs w:val="18"/>
        </w:rPr>
        <w:t xml:space="preserve">no later than 12pm </w:t>
      </w:r>
      <w:r w:rsidR="00791533">
        <w:rPr>
          <w:sz w:val="18"/>
          <w:szCs w:val="18"/>
        </w:rPr>
        <w:t xml:space="preserve">two business days </w:t>
      </w:r>
      <w:r w:rsidR="00C9635A">
        <w:rPr>
          <w:sz w:val="18"/>
          <w:szCs w:val="18"/>
        </w:rPr>
        <w:t>prior to your</w:t>
      </w:r>
      <w:r w:rsidR="001136ED">
        <w:rPr>
          <w:sz w:val="18"/>
          <w:szCs w:val="18"/>
        </w:rPr>
        <w:t xml:space="preserve"> </w:t>
      </w:r>
      <w:r w:rsidR="00C9635A">
        <w:rPr>
          <w:sz w:val="18"/>
          <w:szCs w:val="18"/>
        </w:rPr>
        <w:t>start date</w:t>
      </w:r>
      <w:r w:rsidR="00FD4299">
        <w:rPr>
          <w:sz w:val="18"/>
          <w:szCs w:val="18"/>
        </w:rPr>
        <w:t xml:space="preserve">. </w:t>
      </w:r>
    </w:p>
    <w:p w:rsidR="00D830CF" w:rsidRDefault="00D830CF" w:rsidP="005E39EC">
      <w:pPr>
        <w:pStyle w:val="Default"/>
        <w:jc w:val="both"/>
        <w:rPr>
          <w:sz w:val="18"/>
          <w:szCs w:val="18"/>
        </w:rPr>
      </w:pPr>
    </w:p>
    <w:p w:rsidR="00FD4299" w:rsidRDefault="00F3785F" w:rsidP="005E39EC">
      <w:pPr>
        <w:pStyle w:val="Default"/>
        <w:jc w:val="both"/>
        <w:rPr>
          <w:sz w:val="18"/>
          <w:szCs w:val="18"/>
        </w:rPr>
      </w:pPr>
      <w:r w:rsidRPr="00791533">
        <w:rPr>
          <w:b/>
          <w:sz w:val="18"/>
          <w:szCs w:val="18"/>
        </w:rPr>
        <w:t xml:space="preserve">No </w:t>
      </w:r>
      <w:r w:rsidR="009B0E45" w:rsidRPr="00791533">
        <w:rPr>
          <w:b/>
          <w:sz w:val="18"/>
          <w:szCs w:val="18"/>
        </w:rPr>
        <w:t>S</w:t>
      </w:r>
      <w:r w:rsidRPr="00791533">
        <w:rPr>
          <w:b/>
          <w:sz w:val="18"/>
          <w:szCs w:val="18"/>
        </w:rPr>
        <w:t>taff will be allowed to start work without clearance through OH</w:t>
      </w:r>
      <w:r>
        <w:rPr>
          <w:sz w:val="18"/>
          <w:szCs w:val="18"/>
        </w:rPr>
        <w:t xml:space="preserve">. Any exceptions to this policy must be approved in writing by the </w:t>
      </w:r>
      <w:r w:rsidR="00FD37A0">
        <w:rPr>
          <w:sz w:val="18"/>
          <w:szCs w:val="18"/>
        </w:rPr>
        <w:t>Senior Manager</w:t>
      </w:r>
      <w:r w:rsidR="00C9635A">
        <w:rPr>
          <w:sz w:val="18"/>
          <w:szCs w:val="18"/>
        </w:rPr>
        <w:t xml:space="preserve"> of </w:t>
      </w:r>
      <w:r w:rsidR="00FD37A0">
        <w:rPr>
          <w:sz w:val="18"/>
          <w:szCs w:val="18"/>
        </w:rPr>
        <w:t>OH</w:t>
      </w:r>
      <w:r>
        <w:rPr>
          <w:sz w:val="18"/>
          <w:szCs w:val="18"/>
        </w:rPr>
        <w:t xml:space="preserve"> and the Director</w:t>
      </w:r>
      <w:r w:rsidR="00C9635A">
        <w:rPr>
          <w:sz w:val="18"/>
          <w:szCs w:val="18"/>
        </w:rPr>
        <w:t xml:space="preserve"> of </w:t>
      </w:r>
      <w:r>
        <w:rPr>
          <w:sz w:val="18"/>
          <w:szCs w:val="18"/>
        </w:rPr>
        <w:t>Infection Control following the completion of a risk assessment.</w:t>
      </w:r>
    </w:p>
    <w:p w:rsidR="00FD4299" w:rsidRDefault="00FD4299" w:rsidP="00FD4299">
      <w:pPr>
        <w:pStyle w:val="Default"/>
        <w:jc w:val="both"/>
        <w:rPr>
          <w:sz w:val="18"/>
          <w:szCs w:val="18"/>
        </w:rPr>
      </w:pPr>
    </w:p>
    <w:p w:rsidR="00FD4299" w:rsidRDefault="00FD4299" w:rsidP="00FD4299">
      <w:pPr>
        <w:pStyle w:val="Default"/>
        <w:jc w:val="both"/>
        <w:rPr>
          <w:sz w:val="18"/>
          <w:szCs w:val="18"/>
        </w:rPr>
      </w:pPr>
      <w:r w:rsidRPr="00F3785F">
        <w:rPr>
          <w:b/>
          <w:bCs/>
          <w:sz w:val="18"/>
          <w:szCs w:val="18"/>
          <w:u w:val="single"/>
        </w:rPr>
        <w:t>Tuberculosis</w:t>
      </w:r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 </w:t>
      </w:r>
    </w:p>
    <w:p w:rsidR="00FD4299" w:rsidRDefault="00FD4299" w:rsidP="00C9635A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Staff are required to have </w:t>
      </w:r>
      <w:r w:rsidR="009B0E45">
        <w:rPr>
          <w:sz w:val="18"/>
          <w:szCs w:val="18"/>
        </w:rPr>
        <w:t xml:space="preserve">had </w:t>
      </w:r>
      <w:r>
        <w:rPr>
          <w:sz w:val="18"/>
          <w:szCs w:val="18"/>
        </w:rPr>
        <w:t xml:space="preserve">a documented </w:t>
      </w:r>
      <w:r>
        <w:rPr>
          <w:b/>
          <w:bCs/>
          <w:sz w:val="18"/>
          <w:szCs w:val="18"/>
        </w:rPr>
        <w:t>2-step</w:t>
      </w:r>
      <w:r>
        <w:rPr>
          <w:sz w:val="18"/>
          <w:szCs w:val="18"/>
        </w:rPr>
        <w:t xml:space="preserve"> tuberculosis skin test done prior to their start date. This involves the planting of a tuberculosis skin test in the forearm and having it read by a physician or Occupational Health Nurse 2-3 days later.  If negative, the process will be repeated in the other arm 1-3 weeks later. </w:t>
      </w:r>
      <w:r w:rsidR="00CE297A">
        <w:rPr>
          <w:sz w:val="18"/>
          <w:szCs w:val="18"/>
        </w:rPr>
        <w:t>If the 2-step tuberculosis skin test was done more than 12 mon</w:t>
      </w:r>
      <w:r w:rsidR="00F50D4B">
        <w:rPr>
          <w:sz w:val="18"/>
          <w:szCs w:val="18"/>
        </w:rPr>
        <w:t>ths prior to their start date, the result of a</w:t>
      </w:r>
      <w:r w:rsidR="00CE297A">
        <w:rPr>
          <w:sz w:val="18"/>
          <w:szCs w:val="18"/>
        </w:rPr>
        <w:t xml:space="preserve"> 1-step tuberculosis skin</w:t>
      </w:r>
      <w:r w:rsidR="00F50D4B">
        <w:rPr>
          <w:sz w:val="18"/>
          <w:szCs w:val="18"/>
        </w:rPr>
        <w:t xml:space="preserve"> test must be provided</w:t>
      </w:r>
      <w:r w:rsidR="00CE297A">
        <w:rPr>
          <w:sz w:val="18"/>
          <w:szCs w:val="18"/>
        </w:rPr>
        <w:t xml:space="preserve">. </w:t>
      </w:r>
      <w:r w:rsidRPr="00C9635A">
        <w:rPr>
          <w:sz w:val="18"/>
          <w:szCs w:val="18"/>
        </w:rPr>
        <w:t xml:space="preserve"> </w:t>
      </w:r>
      <w:r w:rsidR="00C9635A" w:rsidRPr="00C9635A">
        <w:rPr>
          <w:rFonts w:cs="Times New Roman"/>
          <w:b/>
          <w:color w:val="auto"/>
          <w:sz w:val="18"/>
          <w:szCs w:val="18"/>
        </w:rPr>
        <w:t>If 1</w:t>
      </w:r>
      <w:r w:rsidR="00C9635A" w:rsidRPr="00C9635A">
        <w:rPr>
          <w:rFonts w:cs="Times New Roman"/>
          <w:b/>
          <w:color w:val="auto"/>
          <w:sz w:val="18"/>
          <w:szCs w:val="18"/>
          <w:vertAlign w:val="superscript"/>
        </w:rPr>
        <w:t>st</w:t>
      </w:r>
      <w:r w:rsidR="00C9635A" w:rsidRPr="00C9635A">
        <w:rPr>
          <w:rFonts w:cs="Times New Roman"/>
          <w:b/>
          <w:color w:val="auto"/>
          <w:sz w:val="18"/>
          <w:szCs w:val="18"/>
        </w:rPr>
        <w:t xml:space="preserve"> or 2</w:t>
      </w:r>
      <w:r w:rsidR="00C9635A" w:rsidRPr="00C9635A">
        <w:rPr>
          <w:rFonts w:cs="Times New Roman"/>
          <w:b/>
          <w:color w:val="auto"/>
          <w:sz w:val="18"/>
          <w:szCs w:val="18"/>
          <w:vertAlign w:val="superscript"/>
        </w:rPr>
        <w:t>nd</w:t>
      </w:r>
      <w:r w:rsidR="00C9635A" w:rsidRPr="00C9635A">
        <w:rPr>
          <w:rFonts w:cs="Times New Roman"/>
          <w:b/>
          <w:color w:val="auto"/>
          <w:sz w:val="18"/>
          <w:szCs w:val="18"/>
        </w:rPr>
        <w:t xml:space="preserve"> test is </w:t>
      </w:r>
      <w:r w:rsidR="00C9635A">
        <w:rPr>
          <w:rFonts w:cs="Times New Roman"/>
          <w:b/>
          <w:color w:val="auto"/>
          <w:sz w:val="18"/>
          <w:szCs w:val="18"/>
        </w:rPr>
        <w:t>positive,</w:t>
      </w:r>
      <w:r w:rsidR="00C9635A" w:rsidRPr="00C9635A">
        <w:rPr>
          <w:rFonts w:cs="Times New Roman"/>
          <w:b/>
          <w:color w:val="auto"/>
          <w:sz w:val="18"/>
          <w:szCs w:val="18"/>
        </w:rPr>
        <w:t xml:space="preserve"> (i.e. greater than 1</w:t>
      </w:r>
      <w:r w:rsidR="00C9635A">
        <w:rPr>
          <w:rFonts w:cs="Times New Roman"/>
          <w:b/>
          <w:color w:val="auto"/>
          <w:sz w:val="18"/>
          <w:szCs w:val="18"/>
        </w:rPr>
        <w:t>0mm induration), a c</w:t>
      </w:r>
      <w:r w:rsidR="00C9635A" w:rsidRPr="00C9635A">
        <w:rPr>
          <w:rFonts w:cs="Times New Roman"/>
          <w:b/>
          <w:color w:val="auto"/>
          <w:sz w:val="18"/>
          <w:szCs w:val="18"/>
        </w:rPr>
        <w:t xml:space="preserve">hest x-ray is required. </w:t>
      </w:r>
      <w:r w:rsidR="005E39EC">
        <w:rPr>
          <w:rFonts w:cs="Times New Roman"/>
          <w:b/>
          <w:color w:val="auto"/>
          <w:sz w:val="18"/>
          <w:szCs w:val="18"/>
        </w:rPr>
        <w:t>Chest x</w:t>
      </w:r>
      <w:r w:rsidR="00C9635A" w:rsidRPr="00C9635A">
        <w:rPr>
          <w:rFonts w:cs="Times New Roman"/>
          <w:b/>
          <w:color w:val="auto"/>
          <w:sz w:val="18"/>
          <w:szCs w:val="18"/>
        </w:rPr>
        <w:t>-ray must have been completed within the last year</w:t>
      </w:r>
      <w:r w:rsidR="001136ED">
        <w:rPr>
          <w:rFonts w:cs="Times New Roman"/>
          <w:b/>
          <w:color w:val="auto"/>
          <w:sz w:val="18"/>
          <w:szCs w:val="18"/>
        </w:rPr>
        <w:t xml:space="preserve">. </w:t>
      </w:r>
      <w:r>
        <w:rPr>
          <w:sz w:val="18"/>
          <w:szCs w:val="18"/>
        </w:rPr>
        <w:t>The 2-step skin test identifies the truly positive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skin test.  It is essential to have accurate baseline information at the beginning of your placement as this is the comparison that is used in the event of an exposure. </w:t>
      </w:r>
      <w:r w:rsidR="00F3785F">
        <w:rPr>
          <w:sz w:val="18"/>
          <w:szCs w:val="18"/>
        </w:rPr>
        <w:t xml:space="preserve">Testing is required despite having a past history of vaccination for TB (called BCG). </w:t>
      </w:r>
    </w:p>
    <w:p w:rsidR="00FD4299" w:rsidRDefault="00FD4299" w:rsidP="00F3785F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Individuals who have a documented positive skin test </w:t>
      </w:r>
      <w:r w:rsidRPr="00791533">
        <w:rPr>
          <w:sz w:val="18"/>
          <w:szCs w:val="18"/>
          <w:u w:val="single"/>
        </w:rPr>
        <w:t>are required to submit the results of a chest</w:t>
      </w:r>
      <w:r>
        <w:rPr>
          <w:sz w:val="18"/>
          <w:szCs w:val="18"/>
        </w:rPr>
        <w:t xml:space="preserve"> x-ray completed within the current calendar year. </w:t>
      </w:r>
    </w:p>
    <w:p w:rsidR="00FD4299" w:rsidRDefault="00FD4299" w:rsidP="00F3785F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TB tests are safe to have while pregnant. </w:t>
      </w:r>
    </w:p>
    <w:p w:rsidR="00FD4299" w:rsidRDefault="00FD4299" w:rsidP="00F3785F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TB tests can be affected by some types of vaccines and should be completed </w:t>
      </w:r>
      <w:r>
        <w:rPr>
          <w:b/>
          <w:bCs/>
          <w:sz w:val="18"/>
          <w:szCs w:val="18"/>
        </w:rPr>
        <w:t>before</w:t>
      </w:r>
      <w:r>
        <w:rPr>
          <w:sz w:val="18"/>
          <w:szCs w:val="18"/>
        </w:rPr>
        <w:t xml:space="preserve"> receiving live vaccines such as MMR (Measles</w:t>
      </w:r>
      <w:r w:rsidR="00900233">
        <w:rPr>
          <w:sz w:val="18"/>
          <w:szCs w:val="18"/>
        </w:rPr>
        <w:t>,</w:t>
      </w:r>
      <w:r>
        <w:rPr>
          <w:sz w:val="18"/>
          <w:szCs w:val="18"/>
        </w:rPr>
        <w:t xml:space="preserve"> Mumps</w:t>
      </w:r>
      <w:r w:rsidR="00900233">
        <w:rPr>
          <w:sz w:val="18"/>
          <w:szCs w:val="18"/>
        </w:rPr>
        <w:t>,</w:t>
      </w:r>
      <w:r>
        <w:rPr>
          <w:sz w:val="18"/>
          <w:szCs w:val="18"/>
        </w:rPr>
        <w:t xml:space="preserve"> Rubella) or Varivax (chickenpox vaccine).   </w:t>
      </w:r>
    </w:p>
    <w:p w:rsidR="00FD4299" w:rsidRDefault="00FD4299" w:rsidP="00FD429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00233" w:rsidRPr="00900233" w:rsidRDefault="00FD4299" w:rsidP="00F3785F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Measles</w:t>
      </w:r>
      <w:r w:rsidR="00900233">
        <w:rPr>
          <w:sz w:val="18"/>
          <w:szCs w:val="18"/>
        </w:rPr>
        <w:t xml:space="preserve"> - </w:t>
      </w:r>
      <w:r w:rsidR="00350038" w:rsidRPr="00F3785F">
        <w:rPr>
          <w:b/>
          <w:bCs/>
          <w:sz w:val="18"/>
          <w:szCs w:val="18"/>
        </w:rPr>
        <w:t>Any o</w:t>
      </w:r>
      <w:r w:rsidRPr="00F3785F">
        <w:rPr>
          <w:b/>
          <w:bCs/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e of the following is acceptable: </w:t>
      </w:r>
    </w:p>
    <w:p w:rsidR="000F0CB2" w:rsidRDefault="00C9635A" w:rsidP="000B40D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>D</w:t>
      </w:r>
      <w:r w:rsidR="000F0CB2" w:rsidRPr="000F0CB2">
        <w:rPr>
          <w:rFonts w:ascii="Arial" w:eastAsia="MS Mincho" w:hAnsi="Arial" w:cs="Arial"/>
          <w:sz w:val="18"/>
          <w:szCs w:val="18"/>
          <w:lang w:eastAsia="ja-JP"/>
        </w:rPr>
        <w:t xml:space="preserve">ocumentation of receipt of 2 doses of live </w:t>
      </w:r>
      <w:r w:rsidR="000B40D1">
        <w:rPr>
          <w:rFonts w:ascii="Arial" w:eastAsia="MS Mincho" w:hAnsi="Arial" w:cs="Arial"/>
          <w:sz w:val="18"/>
          <w:szCs w:val="18"/>
          <w:lang w:eastAsia="ja-JP"/>
        </w:rPr>
        <w:t>m</w:t>
      </w:r>
      <w:r w:rsidR="000F0CB2" w:rsidRPr="000F0CB2">
        <w:rPr>
          <w:rFonts w:ascii="Arial" w:eastAsia="MS Mincho" w:hAnsi="Arial" w:cs="Arial"/>
          <w:sz w:val="18"/>
          <w:szCs w:val="18"/>
          <w:lang w:eastAsia="ja-JP"/>
        </w:rPr>
        <w:t xml:space="preserve">easles virus vaccine </w:t>
      </w:r>
      <w:r w:rsidR="009B0E45" w:rsidRPr="009B0E45">
        <w:rPr>
          <w:rFonts w:ascii="Arial" w:eastAsia="MS Mincho" w:hAnsi="Arial" w:cs="Arial"/>
          <w:sz w:val="18"/>
          <w:szCs w:val="18"/>
          <w:lang w:eastAsia="ja-JP"/>
        </w:rPr>
        <w:t>(or trivalent measles-mumps-rubella [MMR] vaccine)</w:t>
      </w:r>
      <w:r w:rsidR="009B0E45">
        <w:rPr>
          <w:rFonts w:ascii="Arial" w:eastAsia="MS Mincho" w:hAnsi="Arial" w:cs="Arial"/>
          <w:sz w:val="18"/>
          <w:szCs w:val="18"/>
          <w:lang w:eastAsia="ja-JP"/>
        </w:rPr>
        <w:t xml:space="preserve"> </w:t>
      </w:r>
      <w:r w:rsidR="000F0CB2" w:rsidRPr="000F0CB2">
        <w:rPr>
          <w:rFonts w:ascii="Arial" w:eastAsia="MS Mincho" w:hAnsi="Arial" w:cs="Arial"/>
          <w:sz w:val="18"/>
          <w:szCs w:val="18"/>
          <w:lang w:eastAsia="ja-JP"/>
        </w:rPr>
        <w:t>on or</w:t>
      </w:r>
      <w:r>
        <w:rPr>
          <w:rFonts w:ascii="Arial" w:eastAsia="MS Mincho" w:hAnsi="Arial" w:cs="Arial"/>
          <w:sz w:val="18"/>
          <w:szCs w:val="18"/>
          <w:lang w:eastAsia="ja-JP"/>
        </w:rPr>
        <w:t xml:space="preserve"> after the first birthday, with doses given at least four weeks apart, </w:t>
      </w:r>
      <w:r w:rsidRPr="000B40D1">
        <w:rPr>
          <w:rFonts w:ascii="Arial" w:eastAsia="MS Mincho" w:hAnsi="Arial" w:cs="Arial"/>
          <w:b/>
          <w:sz w:val="18"/>
          <w:szCs w:val="18"/>
          <w:lang w:eastAsia="ja-JP"/>
        </w:rPr>
        <w:t>OR</w:t>
      </w:r>
    </w:p>
    <w:p w:rsidR="000B40D1" w:rsidRPr="000B40D1" w:rsidRDefault="000B40D1" w:rsidP="000B40D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>Laboratory evidence of immunity.</w:t>
      </w:r>
    </w:p>
    <w:p w:rsidR="000B40D1" w:rsidRPr="000B40D1" w:rsidRDefault="000B40D1" w:rsidP="000B40D1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4920FD" w:rsidRPr="00F3785F" w:rsidRDefault="004920FD" w:rsidP="004920FD">
      <w:pPr>
        <w:pStyle w:val="Default"/>
        <w:jc w:val="both"/>
        <w:rPr>
          <w:b/>
          <w:bCs/>
          <w:sz w:val="18"/>
          <w:szCs w:val="18"/>
        </w:rPr>
      </w:pPr>
      <w:r w:rsidRPr="00F3785F">
        <w:rPr>
          <w:b/>
          <w:bCs/>
          <w:sz w:val="18"/>
          <w:szCs w:val="18"/>
          <w:u w:val="single"/>
        </w:rPr>
        <w:t>Mumps</w:t>
      </w:r>
      <w:r w:rsidR="00F3785F" w:rsidRPr="00900233">
        <w:rPr>
          <w:b/>
          <w:bCs/>
          <w:sz w:val="18"/>
          <w:szCs w:val="18"/>
        </w:rPr>
        <w:t xml:space="preserve"> - </w:t>
      </w:r>
      <w:r w:rsidR="000B40D1" w:rsidRPr="00900233">
        <w:rPr>
          <w:b/>
          <w:bCs/>
          <w:sz w:val="18"/>
          <w:szCs w:val="18"/>
        </w:rPr>
        <w:t xml:space="preserve"> </w:t>
      </w:r>
      <w:r w:rsidR="00F3785F" w:rsidRPr="00F3785F">
        <w:rPr>
          <w:b/>
          <w:bCs/>
          <w:sz w:val="18"/>
          <w:szCs w:val="18"/>
        </w:rPr>
        <w:t xml:space="preserve">Any one of the </w:t>
      </w:r>
      <w:r w:rsidRPr="00F3785F">
        <w:rPr>
          <w:b/>
          <w:bCs/>
          <w:sz w:val="18"/>
          <w:szCs w:val="18"/>
        </w:rPr>
        <w:t xml:space="preserve">following </w:t>
      </w:r>
      <w:r w:rsidR="00F3785F" w:rsidRPr="00F3785F">
        <w:rPr>
          <w:b/>
          <w:bCs/>
          <w:sz w:val="18"/>
          <w:szCs w:val="18"/>
        </w:rPr>
        <w:t>is acceptable:</w:t>
      </w:r>
    </w:p>
    <w:p w:rsidR="000B40D1" w:rsidRPr="000B40D1" w:rsidRDefault="000B40D1" w:rsidP="000B40D1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0B40D1">
        <w:rPr>
          <w:sz w:val="18"/>
          <w:szCs w:val="18"/>
        </w:rPr>
        <w:t xml:space="preserve">ocumentation of receipt of 2 doses of </w:t>
      </w:r>
      <w:r w:rsidR="009B0E45">
        <w:rPr>
          <w:sz w:val="18"/>
          <w:szCs w:val="18"/>
        </w:rPr>
        <w:t xml:space="preserve">live </w:t>
      </w:r>
      <w:r w:rsidRPr="000B40D1">
        <w:rPr>
          <w:sz w:val="18"/>
          <w:szCs w:val="18"/>
        </w:rPr>
        <w:t xml:space="preserve">mumps </w:t>
      </w:r>
      <w:r w:rsidR="009B0E45">
        <w:rPr>
          <w:sz w:val="18"/>
          <w:szCs w:val="18"/>
        </w:rPr>
        <w:t xml:space="preserve">virus </w:t>
      </w:r>
      <w:r w:rsidRPr="000B40D1">
        <w:rPr>
          <w:sz w:val="18"/>
          <w:szCs w:val="18"/>
        </w:rPr>
        <w:t>vaccine (or trivalent</w:t>
      </w:r>
      <w:r>
        <w:rPr>
          <w:sz w:val="18"/>
          <w:szCs w:val="18"/>
        </w:rPr>
        <w:t xml:space="preserve"> </w:t>
      </w:r>
      <w:r w:rsidRPr="000B40D1">
        <w:rPr>
          <w:sz w:val="18"/>
          <w:szCs w:val="18"/>
        </w:rPr>
        <w:t>measles-mumps-</w:t>
      </w:r>
      <w:r>
        <w:rPr>
          <w:sz w:val="18"/>
          <w:szCs w:val="18"/>
        </w:rPr>
        <w:t>rubella [MMR]</w:t>
      </w:r>
      <w:r w:rsidR="00900233">
        <w:rPr>
          <w:sz w:val="18"/>
          <w:szCs w:val="18"/>
        </w:rPr>
        <w:t xml:space="preserve"> </w:t>
      </w:r>
      <w:r w:rsidRPr="000B40D1">
        <w:rPr>
          <w:sz w:val="18"/>
          <w:szCs w:val="18"/>
        </w:rPr>
        <w:t>vaccine)</w:t>
      </w:r>
      <w:r w:rsidR="00900233">
        <w:rPr>
          <w:sz w:val="18"/>
          <w:szCs w:val="18"/>
        </w:rPr>
        <w:t xml:space="preserve"> on or after the first birthday, with doses given at least four weeks apart,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OR</w:t>
      </w:r>
    </w:p>
    <w:p w:rsidR="000B40D1" w:rsidRDefault="000B40D1" w:rsidP="000B40D1">
      <w:pPr>
        <w:pStyle w:val="Default"/>
        <w:numPr>
          <w:ilvl w:val="0"/>
          <w:numId w:val="13"/>
        </w:numPr>
        <w:tabs>
          <w:tab w:val="left" w:pos="2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Laboratory evidence of immunity.</w:t>
      </w:r>
    </w:p>
    <w:p w:rsidR="000B40D1" w:rsidRDefault="000B40D1" w:rsidP="00F3785F">
      <w:pPr>
        <w:pStyle w:val="Default"/>
        <w:tabs>
          <w:tab w:val="left" w:pos="27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D4014" w:rsidRDefault="00BD4014" w:rsidP="00BD4014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Rubella</w:t>
      </w:r>
      <w:r w:rsidRPr="00900233">
        <w:rPr>
          <w:b/>
          <w:bCs/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Pr="00F3785F">
        <w:rPr>
          <w:b/>
          <w:bCs/>
          <w:sz w:val="18"/>
          <w:szCs w:val="18"/>
        </w:rPr>
        <w:t xml:space="preserve">Any one of the </w:t>
      </w:r>
      <w:r>
        <w:rPr>
          <w:b/>
          <w:bCs/>
          <w:sz w:val="18"/>
          <w:szCs w:val="18"/>
        </w:rPr>
        <w:t>following is acceptable:</w:t>
      </w:r>
      <w:r>
        <w:rPr>
          <w:sz w:val="18"/>
          <w:szCs w:val="18"/>
        </w:rPr>
        <w:t xml:space="preserve"> </w:t>
      </w:r>
    </w:p>
    <w:p w:rsidR="00BD4014" w:rsidRPr="00BD4014" w:rsidRDefault="00900233" w:rsidP="00BD4014">
      <w:pPr>
        <w:pStyle w:val="Defaul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Documentation of receipt of 1 dose of virus</w:t>
      </w:r>
      <w:r w:rsidR="00BD40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vaccine (or trivalent measles-mumps-rubella [MMR] vaccine) </w:t>
      </w:r>
      <w:r w:rsidR="00BD4014">
        <w:rPr>
          <w:sz w:val="18"/>
          <w:szCs w:val="18"/>
        </w:rPr>
        <w:t>on or after the first birthday</w:t>
      </w:r>
      <w:r>
        <w:rPr>
          <w:sz w:val="18"/>
          <w:szCs w:val="18"/>
        </w:rPr>
        <w:t xml:space="preserve">. </w:t>
      </w:r>
      <w:r w:rsidR="00BD4014">
        <w:rPr>
          <w:b/>
          <w:sz w:val="18"/>
          <w:szCs w:val="18"/>
        </w:rPr>
        <w:t>OR</w:t>
      </w:r>
    </w:p>
    <w:p w:rsidR="00BD4014" w:rsidRDefault="00BD4014" w:rsidP="00BD4014">
      <w:pPr>
        <w:pStyle w:val="Default"/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>Laboratory evidence of immunity.</w:t>
      </w:r>
    </w:p>
    <w:p w:rsidR="00BD4014" w:rsidRDefault="00BD4014" w:rsidP="00BD4014">
      <w:pPr>
        <w:pStyle w:val="Default"/>
        <w:tabs>
          <w:tab w:val="left" w:pos="2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F0CB2">
        <w:rPr>
          <w:b/>
          <w:bCs/>
          <w:sz w:val="18"/>
          <w:szCs w:val="18"/>
        </w:rPr>
        <w:t>A history of having had rubella is not acceptable as this disease can be confused with other viruses.</w:t>
      </w:r>
    </w:p>
    <w:p w:rsidR="00BD4014" w:rsidRDefault="00BD4014" w:rsidP="00F3785F">
      <w:pPr>
        <w:pStyle w:val="Default"/>
        <w:tabs>
          <w:tab w:val="left" w:pos="27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D4299" w:rsidRDefault="00FD4299" w:rsidP="00F3785F">
      <w:pPr>
        <w:pStyle w:val="Default"/>
        <w:tabs>
          <w:tab w:val="left" w:pos="27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Varicella</w:t>
      </w:r>
      <w:r w:rsidR="00BD4CE0">
        <w:rPr>
          <w:b/>
          <w:bCs/>
          <w:sz w:val="18"/>
          <w:szCs w:val="18"/>
        </w:rPr>
        <w:t xml:space="preserve"> (Chickenpox)</w:t>
      </w:r>
      <w:r>
        <w:rPr>
          <w:b/>
          <w:bCs/>
          <w:sz w:val="18"/>
          <w:szCs w:val="18"/>
        </w:rPr>
        <w:t xml:space="preserve"> </w:t>
      </w:r>
      <w:r w:rsidR="00F3785F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F3785F">
        <w:rPr>
          <w:b/>
          <w:bCs/>
          <w:sz w:val="18"/>
          <w:szCs w:val="18"/>
        </w:rPr>
        <w:t>Any o</w:t>
      </w:r>
      <w:r>
        <w:rPr>
          <w:b/>
          <w:bCs/>
          <w:sz w:val="18"/>
          <w:szCs w:val="18"/>
        </w:rPr>
        <w:t xml:space="preserve">ne of the following is acceptable: </w:t>
      </w:r>
    </w:p>
    <w:p w:rsidR="00FD4299" w:rsidRDefault="00FD4299" w:rsidP="00F3785F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 w:rsidRPr="00FD4299">
        <w:rPr>
          <w:sz w:val="18"/>
          <w:szCs w:val="18"/>
        </w:rPr>
        <w:t xml:space="preserve">Documentation of </w:t>
      </w:r>
      <w:r w:rsidR="00900233">
        <w:rPr>
          <w:sz w:val="18"/>
          <w:szCs w:val="18"/>
        </w:rPr>
        <w:t xml:space="preserve">receipt of </w:t>
      </w:r>
      <w:r w:rsidRPr="00FD4299">
        <w:rPr>
          <w:sz w:val="18"/>
          <w:szCs w:val="18"/>
        </w:rPr>
        <w:t xml:space="preserve">2 </w:t>
      </w:r>
      <w:r w:rsidR="00900233">
        <w:rPr>
          <w:sz w:val="18"/>
          <w:szCs w:val="18"/>
        </w:rPr>
        <w:t xml:space="preserve">doses of </w:t>
      </w:r>
      <w:r w:rsidRPr="00FD4299">
        <w:rPr>
          <w:sz w:val="18"/>
          <w:szCs w:val="18"/>
        </w:rPr>
        <w:t>chickenpox vaccine</w:t>
      </w:r>
      <w:r w:rsidR="00900233">
        <w:rPr>
          <w:sz w:val="18"/>
          <w:szCs w:val="18"/>
        </w:rPr>
        <w:t xml:space="preserve">, </w:t>
      </w:r>
      <w:r w:rsidRPr="00FD4299">
        <w:rPr>
          <w:sz w:val="18"/>
          <w:szCs w:val="18"/>
        </w:rPr>
        <w:t>given at least 4 weeks apart</w:t>
      </w:r>
      <w:r w:rsidR="000B40D1">
        <w:rPr>
          <w:sz w:val="18"/>
          <w:szCs w:val="18"/>
        </w:rPr>
        <w:t xml:space="preserve">, </w:t>
      </w:r>
      <w:r w:rsidR="000B40D1">
        <w:rPr>
          <w:b/>
          <w:sz w:val="18"/>
          <w:szCs w:val="18"/>
        </w:rPr>
        <w:t>OR</w:t>
      </w:r>
    </w:p>
    <w:p w:rsidR="000B40D1" w:rsidRPr="00FD4299" w:rsidRDefault="000B40D1" w:rsidP="000B40D1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 w:rsidRPr="00FD4299">
        <w:rPr>
          <w:sz w:val="18"/>
          <w:szCs w:val="18"/>
        </w:rPr>
        <w:t xml:space="preserve">Laboratory evidence of </w:t>
      </w:r>
      <w:r>
        <w:rPr>
          <w:sz w:val="18"/>
          <w:szCs w:val="18"/>
        </w:rPr>
        <w:t xml:space="preserve">immunity, </w:t>
      </w:r>
      <w:r>
        <w:rPr>
          <w:b/>
          <w:sz w:val="18"/>
          <w:szCs w:val="18"/>
        </w:rPr>
        <w:t>OR</w:t>
      </w:r>
    </w:p>
    <w:p w:rsidR="00FD4299" w:rsidRPr="00FD4299" w:rsidRDefault="00FD4299" w:rsidP="00F3785F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 w:rsidRPr="00FD4299">
        <w:rPr>
          <w:sz w:val="18"/>
          <w:szCs w:val="18"/>
        </w:rPr>
        <w:t>Diagnosis or verification of a history of typical varicella (chickenpox) by a health care provider</w:t>
      </w:r>
      <w:r w:rsidR="00BD4014">
        <w:rPr>
          <w:sz w:val="18"/>
          <w:szCs w:val="18"/>
        </w:rPr>
        <w:t xml:space="preserve">, </w:t>
      </w:r>
      <w:r w:rsidR="00BD4014">
        <w:rPr>
          <w:b/>
          <w:sz w:val="18"/>
          <w:szCs w:val="18"/>
        </w:rPr>
        <w:t>OR</w:t>
      </w:r>
    </w:p>
    <w:p w:rsidR="00FD4299" w:rsidRPr="00FD4299" w:rsidRDefault="00FD4299" w:rsidP="00F3785F">
      <w:pPr>
        <w:pStyle w:val="Default"/>
        <w:numPr>
          <w:ilvl w:val="0"/>
          <w:numId w:val="9"/>
        </w:numPr>
        <w:jc w:val="both"/>
        <w:rPr>
          <w:sz w:val="18"/>
          <w:szCs w:val="18"/>
        </w:rPr>
      </w:pPr>
      <w:r w:rsidRPr="00FD4299">
        <w:rPr>
          <w:sz w:val="18"/>
          <w:szCs w:val="18"/>
        </w:rPr>
        <w:t>Diagnosis or verification of a history of herpes zoster (shingles) by a health care provider</w:t>
      </w:r>
      <w:r w:rsidR="00BD4014">
        <w:rPr>
          <w:sz w:val="18"/>
          <w:szCs w:val="18"/>
        </w:rPr>
        <w:t>.</w:t>
      </w:r>
    </w:p>
    <w:p w:rsidR="00FD4299" w:rsidRDefault="00FD4299" w:rsidP="00FD4299">
      <w:pPr>
        <w:pStyle w:val="Default"/>
        <w:jc w:val="both"/>
        <w:rPr>
          <w:sz w:val="18"/>
          <w:szCs w:val="18"/>
        </w:rPr>
      </w:pPr>
    </w:p>
    <w:p w:rsidR="00FD4299" w:rsidRDefault="00FD4299" w:rsidP="00FD4299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Hepatitis B Vaccine</w:t>
      </w:r>
      <w:r w:rsidR="009B0E45" w:rsidRPr="00900233">
        <w:rPr>
          <w:b/>
          <w:bCs/>
          <w:sz w:val="18"/>
          <w:szCs w:val="18"/>
        </w:rPr>
        <w:t xml:space="preserve"> - </w:t>
      </w:r>
      <w:r w:rsidR="009B0E45">
        <w:rPr>
          <w:sz w:val="18"/>
          <w:szCs w:val="18"/>
        </w:rPr>
        <w:t>H</w:t>
      </w:r>
      <w:r w:rsidR="00900233">
        <w:rPr>
          <w:sz w:val="18"/>
          <w:szCs w:val="18"/>
        </w:rPr>
        <w:t>ighly recommended for any S</w:t>
      </w:r>
      <w:r w:rsidR="00350038">
        <w:rPr>
          <w:sz w:val="18"/>
          <w:szCs w:val="18"/>
        </w:rPr>
        <w:t>taff who might have any contact with human blood or body fluids, or items contaminated with human blood or body fluids.</w:t>
      </w:r>
      <w:r w:rsidR="00EC1098">
        <w:rPr>
          <w:sz w:val="18"/>
          <w:szCs w:val="18"/>
        </w:rPr>
        <w:t xml:space="preserve"> </w:t>
      </w:r>
      <w:r w:rsidR="00350038">
        <w:rPr>
          <w:sz w:val="18"/>
          <w:szCs w:val="18"/>
        </w:rPr>
        <w:t>A</w:t>
      </w:r>
      <w:r w:rsidR="00900233">
        <w:rPr>
          <w:sz w:val="18"/>
          <w:szCs w:val="18"/>
        </w:rPr>
        <w:t>ll S</w:t>
      </w:r>
      <w:r>
        <w:rPr>
          <w:sz w:val="18"/>
          <w:szCs w:val="18"/>
        </w:rPr>
        <w:t xml:space="preserve">taff </w:t>
      </w:r>
      <w:r w:rsidR="00D830CF">
        <w:rPr>
          <w:sz w:val="18"/>
          <w:szCs w:val="18"/>
        </w:rPr>
        <w:t>must notify OH</w:t>
      </w:r>
      <w:r w:rsidR="006D1832">
        <w:rPr>
          <w:sz w:val="18"/>
          <w:szCs w:val="18"/>
        </w:rPr>
        <w:t xml:space="preserve"> of their immune status (</w:t>
      </w:r>
      <w:r w:rsidR="00900233">
        <w:rPr>
          <w:sz w:val="18"/>
          <w:szCs w:val="18"/>
        </w:rPr>
        <w:t>e.g.</w:t>
      </w:r>
      <w:r w:rsidR="006D1832">
        <w:rPr>
          <w:sz w:val="18"/>
          <w:szCs w:val="18"/>
        </w:rPr>
        <w:t xml:space="preserve"> their hepatitis B surface antibody </w:t>
      </w:r>
      <w:r w:rsidR="00FE1883">
        <w:rPr>
          <w:sz w:val="18"/>
          <w:szCs w:val="18"/>
        </w:rPr>
        <w:t>titre</w:t>
      </w:r>
      <w:r w:rsidR="006D1832">
        <w:rPr>
          <w:sz w:val="18"/>
          <w:szCs w:val="18"/>
        </w:rPr>
        <w:t xml:space="preserve"> so that, if an exposure occurs, protective action can be taken prompt</w:t>
      </w:r>
      <w:r w:rsidR="006D1832" w:rsidRPr="009B0E45">
        <w:rPr>
          <w:sz w:val="18"/>
          <w:szCs w:val="18"/>
        </w:rPr>
        <w:t>ly</w:t>
      </w:r>
      <w:r w:rsidR="00BD4014" w:rsidRPr="009B0E45">
        <w:rPr>
          <w:bCs/>
          <w:sz w:val="18"/>
          <w:szCs w:val="18"/>
        </w:rPr>
        <w:t>).</w:t>
      </w:r>
    </w:p>
    <w:p w:rsidR="00F3785F" w:rsidRDefault="00F3785F" w:rsidP="006D0B20">
      <w:pPr>
        <w:pStyle w:val="Default"/>
        <w:jc w:val="both"/>
        <w:rPr>
          <w:b/>
          <w:bCs/>
          <w:sz w:val="18"/>
          <w:szCs w:val="18"/>
          <w:u w:val="single"/>
        </w:rPr>
      </w:pPr>
    </w:p>
    <w:p w:rsidR="00FD4299" w:rsidRPr="006D0B20" w:rsidRDefault="00FD4299" w:rsidP="006D0B2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Tetanus/Diphtheria/Pertussis</w:t>
      </w:r>
      <w:r w:rsidR="009B0E45" w:rsidRPr="00900233">
        <w:rPr>
          <w:b/>
          <w:bCs/>
          <w:sz w:val="18"/>
          <w:szCs w:val="18"/>
        </w:rPr>
        <w:t xml:space="preserve"> - </w:t>
      </w:r>
      <w:r w:rsidR="006D1832" w:rsidRPr="00F3785F">
        <w:rPr>
          <w:sz w:val="18"/>
          <w:szCs w:val="18"/>
        </w:rPr>
        <w:t>Staff</w:t>
      </w:r>
      <w:r w:rsidR="006D1832">
        <w:rPr>
          <w:sz w:val="18"/>
          <w:szCs w:val="18"/>
        </w:rPr>
        <w:t xml:space="preserve"> who have not received a dose of pertussis vaccine as an adu</w:t>
      </w:r>
      <w:r w:rsidR="00BD4CE0">
        <w:rPr>
          <w:sz w:val="18"/>
          <w:szCs w:val="18"/>
        </w:rPr>
        <w:t>lt should receive one dose of Td</w:t>
      </w:r>
      <w:r w:rsidR="006D1832">
        <w:rPr>
          <w:sz w:val="18"/>
          <w:szCs w:val="18"/>
        </w:rPr>
        <w:t>ap (Tetanus/diphtheria/pertussis vaccine for adults)</w:t>
      </w:r>
      <w:r w:rsidR="00C96ABD">
        <w:rPr>
          <w:sz w:val="18"/>
          <w:szCs w:val="18"/>
        </w:rPr>
        <w:t xml:space="preserve"> prior to working in the hospital</w:t>
      </w:r>
      <w:r w:rsidR="006D1832">
        <w:rPr>
          <w:sz w:val="18"/>
          <w:szCs w:val="18"/>
        </w:rPr>
        <w:t xml:space="preserve">. Subsequently, </w:t>
      </w:r>
      <w:r>
        <w:rPr>
          <w:sz w:val="18"/>
          <w:szCs w:val="18"/>
        </w:rPr>
        <w:t>Tetanus/Diphtheria Vaccine</w:t>
      </w:r>
      <w:r w:rsidR="006D1832">
        <w:rPr>
          <w:sz w:val="18"/>
          <w:szCs w:val="18"/>
        </w:rPr>
        <w:t xml:space="preserve"> (Td)</w:t>
      </w:r>
      <w:r>
        <w:rPr>
          <w:sz w:val="18"/>
          <w:szCs w:val="18"/>
        </w:rPr>
        <w:t xml:space="preserve"> </w:t>
      </w:r>
      <w:r w:rsidR="006D1832">
        <w:rPr>
          <w:sz w:val="18"/>
          <w:szCs w:val="18"/>
        </w:rPr>
        <w:t xml:space="preserve">should be </w:t>
      </w:r>
      <w:r w:rsidR="00F3785F">
        <w:rPr>
          <w:sz w:val="18"/>
          <w:szCs w:val="18"/>
        </w:rPr>
        <w:t>received every</w:t>
      </w:r>
      <w:r>
        <w:rPr>
          <w:sz w:val="18"/>
          <w:szCs w:val="18"/>
        </w:rPr>
        <w:t xml:space="preserve"> 10 years.</w:t>
      </w:r>
      <w:r w:rsidR="00F3785F">
        <w:rPr>
          <w:sz w:val="18"/>
          <w:szCs w:val="18"/>
        </w:rPr>
        <w:t xml:space="preserve"> </w:t>
      </w:r>
      <w:r w:rsidR="00900233">
        <w:rPr>
          <w:sz w:val="18"/>
          <w:szCs w:val="18"/>
        </w:rPr>
        <w:t xml:space="preserve"> All S</w:t>
      </w:r>
      <w:r w:rsidR="00F3785F">
        <w:rPr>
          <w:sz w:val="18"/>
          <w:szCs w:val="18"/>
        </w:rPr>
        <w:t>taff must inform O</w:t>
      </w:r>
      <w:r w:rsidR="00D830CF">
        <w:rPr>
          <w:sz w:val="18"/>
          <w:szCs w:val="18"/>
        </w:rPr>
        <w:t>H</w:t>
      </w:r>
      <w:r w:rsidR="00BB186D">
        <w:rPr>
          <w:sz w:val="18"/>
          <w:szCs w:val="18"/>
        </w:rPr>
        <w:t xml:space="preserve"> of their vaccination status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</w:p>
    <w:p w:rsidR="00F3785F" w:rsidRDefault="00F3785F" w:rsidP="00FD4299">
      <w:pPr>
        <w:pStyle w:val="Default"/>
        <w:rPr>
          <w:b/>
          <w:bCs/>
          <w:sz w:val="18"/>
          <w:szCs w:val="18"/>
          <w:u w:val="single"/>
        </w:rPr>
      </w:pPr>
    </w:p>
    <w:p w:rsidR="00BC4012" w:rsidRDefault="00FD4299" w:rsidP="00440224">
      <w:pPr>
        <w:pStyle w:val="Default"/>
        <w:jc w:val="both"/>
        <w:rPr>
          <w:color w:val="auto"/>
          <w:sz w:val="16"/>
          <w:szCs w:val="16"/>
        </w:rPr>
      </w:pPr>
      <w:r>
        <w:rPr>
          <w:b/>
          <w:bCs/>
          <w:sz w:val="18"/>
          <w:szCs w:val="18"/>
          <w:u w:val="single"/>
        </w:rPr>
        <w:t>Influenza Vaccine</w:t>
      </w:r>
      <w:r>
        <w:rPr>
          <w:sz w:val="18"/>
          <w:szCs w:val="18"/>
        </w:rPr>
        <w:t xml:space="preserve"> </w:t>
      </w:r>
      <w:r w:rsidR="009B0E45">
        <w:rPr>
          <w:sz w:val="18"/>
          <w:szCs w:val="18"/>
        </w:rPr>
        <w:t>- O</w:t>
      </w:r>
      <w:r w:rsidR="006D1832">
        <w:rPr>
          <w:sz w:val="18"/>
          <w:szCs w:val="18"/>
        </w:rPr>
        <w:t xml:space="preserve">ffered </w:t>
      </w:r>
      <w:r w:rsidR="00FD37A0">
        <w:rPr>
          <w:sz w:val="18"/>
          <w:szCs w:val="18"/>
        </w:rPr>
        <w:t>by OH</w:t>
      </w:r>
      <w:r w:rsidR="00F3785F">
        <w:rPr>
          <w:sz w:val="18"/>
          <w:szCs w:val="18"/>
        </w:rPr>
        <w:t xml:space="preserve"> </w:t>
      </w:r>
      <w:r w:rsidR="006D1832">
        <w:rPr>
          <w:sz w:val="18"/>
          <w:szCs w:val="18"/>
        </w:rPr>
        <w:t xml:space="preserve">and highly </w:t>
      </w:r>
      <w:r>
        <w:rPr>
          <w:sz w:val="18"/>
          <w:szCs w:val="18"/>
        </w:rPr>
        <w:t xml:space="preserve">recommended </w:t>
      </w:r>
      <w:r w:rsidR="006D1832">
        <w:rPr>
          <w:sz w:val="18"/>
          <w:szCs w:val="18"/>
        </w:rPr>
        <w:t>for</w:t>
      </w:r>
      <w:r w:rsidR="00FD37A0">
        <w:rPr>
          <w:sz w:val="18"/>
          <w:szCs w:val="18"/>
        </w:rPr>
        <w:t xml:space="preserve"> all s</w:t>
      </w:r>
      <w:r>
        <w:rPr>
          <w:sz w:val="18"/>
          <w:szCs w:val="18"/>
        </w:rPr>
        <w:t xml:space="preserve">taff </w:t>
      </w:r>
      <w:r w:rsidR="006D1832">
        <w:rPr>
          <w:sz w:val="18"/>
          <w:szCs w:val="18"/>
        </w:rPr>
        <w:t xml:space="preserve">annually. </w:t>
      </w:r>
      <w:r w:rsidR="00F3785F">
        <w:rPr>
          <w:sz w:val="18"/>
          <w:szCs w:val="18"/>
        </w:rPr>
        <w:t xml:space="preserve">If you do not receive the influenza vaccination at </w:t>
      </w:r>
      <w:r w:rsidR="00FD37A0">
        <w:rPr>
          <w:sz w:val="18"/>
          <w:szCs w:val="18"/>
        </w:rPr>
        <w:t>SHS</w:t>
      </w:r>
      <w:r w:rsidR="00900233">
        <w:rPr>
          <w:sz w:val="18"/>
          <w:szCs w:val="18"/>
        </w:rPr>
        <w:t>, all S</w:t>
      </w:r>
      <w:r w:rsidR="00FD37A0">
        <w:rPr>
          <w:sz w:val="18"/>
          <w:szCs w:val="18"/>
        </w:rPr>
        <w:t>taff must inform OH</w:t>
      </w:r>
      <w:r w:rsidR="00F3785F">
        <w:rPr>
          <w:sz w:val="18"/>
          <w:szCs w:val="18"/>
        </w:rPr>
        <w:t xml:space="preserve"> of their influenza vaccination status (vaccine declination for medical or personal reasons or if you received your vaccination elsewhere) on an annual basis</w:t>
      </w:r>
      <w:r w:rsidR="007448DA">
        <w:rPr>
          <w:sz w:val="18"/>
          <w:szCs w:val="18"/>
        </w:rPr>
        <w:t>.</w:t>
      </w:r>
      <w:bookmarkStart w:id="0" w:name="_GoBack"/>
      <w:bookmarkEnd w:id="0"/>
      <w:r w:rsidR="00BC4012">
        <w:rPr>
          <w:b/>
          <w:bCs/>
          <w:color w:val="auto"/>
          <w:sz w:val="16"/>
          <w:szCs w:val="16"/>
        </w:rPr>
        <w:t xml:space="preserve"> </w:t>
      </w:r>
    </w:p>
    <w:sectPr w:rsidR="00BC4012" w:rsidSect="00FA0787">
      <w:headerReference w:type="default" r:id="rId8"/>
      <w:type w:val="continuous"/>
      <w:pgSz w:w="12240" w:h="15840"/>
      <w:pgMar w:top="143" w:right="900" w:bottom="280" w:left="900" w:header="72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D4" w:rsidRDefault="002A7CD4">
      <w:r>
        <w:separator/>
      </w:r>
    </w:p>
  </w:endnote>
  <w:endnote w:type="continuationSeparator" w:id="0">
    <w:p w:rsidR="002A7CD4" w:rsidRDefault="002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D4" w:rsidRDefault="002A7CD4">
      <w:r>
        <w:separator/>
      </w:r>
    </w:p>
  </w:footnote>
  <w:footnote w:type="continuationSeparator" w:id="0">
    <w:p w:rsidR="002A7CD4" w:rsidRDefault="002A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CF" w:rsidRDefault="00A3474D" w:rsidP="00D830CF">
    <w:pPr>
      <w:jc w:val="center"/>
      <w:rPr>
        <w:rFonts w:ascii="Calibri" w:hAnsi="Calibri"/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-298450</wp:posOffset>
          </wp:positionV>
          <wp:extent cx="2120265" cy="822960"/>
          <wp:effectExtent l="0" t="0" r="0" b="0"/>
          <wp:wrapNone/>
          <wp:docPr id="1" name="Picture 2" descr="B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C8F" w:rsidRPr="00BD1A2C" w:rsidRDefault="00797C8F" w:rsidP="00D830CF">
    <w:pPr>
      <w:jc w:val="right"/>
      <w:rPr>
        <w:rFonts w:ascii="Trebuchet MS" w:hAnsi="Trebuchet MS" w:cs="Arial"/>
        <w:b/>
      </w:rPr>
    </w:pPr>
    <w:r>
      <w:rPr>
        <w:rFonts w:ascii="Trebuchet MS" w:hAnsi="Trebuchet MS"/>
        <w:b/>
      </w:rPr>
      <w:t xml:space="preserve">Staff </w:t>
    </w:r>
    <w:r w:rsidRPr="00BD1A2C">
      <w:rPr>
        <w:rFonts w:ascii="Trebuchet MS" w:hAnsi="Trebuchet MS"/>
        <w:b/>
      </w:rPr>
      <w:t xml:space="preserve">Immunization </w:t>
    </w:r>
    <w:r>
      <w:rPr>
        <w:rFonts w:ascii="Trebuchet MS" w:hAnsi="Trebuchet MS"/>
        <w:b/>
      </w:rPr>
      <w:t xml:space="preserve">and Surveillance </w:t>
    </w:r>
    <w:r w:rsidRPr="00BD1A2C">
      <w:rPr>
        <w:rFonts w:ascii="Trebuchet MS" w:hAnsi="Trebuchet MS"/>
        <w:b/>
      </w:rPr>
      <w:t>Policy</w:t>
    </w:r>
  </w:p>
  <w:p w:rsidR="00797C8F" w:rsidRPr="00D830CF" w:rsidRDefault="00FD37A0" w:rsidP="00D830CF">
    <w:pPr>
      <w:jc w:val="right"/>
      <w:rPr>
        <w:rFonts w:ascii="Arial" w:hAnsi="Arial" w:cs="Arial"/>
        <w:b/>
      </w:rPr>
    </w:pPr>
    <w:r>
      <w:rPr>
        <w:rFonts w:ascii="Trebuchet MS" w:hAnsi="Trebuchet MS"/>
        <w:b/>
      </w:rPr>
      <w:t>INFORMATION SHEET AND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D94"/>
    <w:multiLevelType w:val="hybridMultilevel"/>
    <w:tmpl w:val="E43A1D3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1EE03"/>
    <w:multiLevelType w:val="hybridMultilevel"/>
    <w:tmpl w:val="44B934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4B16FCE"/>
    <w:multiLevelType w:val="hybridMultilevel"/>
    <w:tmpl w:val="27068E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0D27EF"/>
    <w:multiLevelType w:val="hybridMultilevel"/>
    <w:tmpl w:val="875C637C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740FFE"/>
    <w:multiLevelType w:val="hybridMultilevel"/>
    <w:tmpl w:val="58008D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D41244"/>
    <w:multiLevelType w:val="hybridMultilevel"/>
    <w:tmpl w:val="B8FAF33C"/>
    <w:lvl w:ilvl="0" w:tplc="2E9A18C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onotype Corsiva" w:hAnsi="Arial" w:cs="Monotype Corsiv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570EA"/>
    <w:multiLevelType w:val="hybridMultilevel"/>
    <w:tmpl w:val="2C0E9A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D4292A"/>
    <w:multiLevelType w:val="hybridMultilevel"/>
    <w:tmpl w:val="BD9CAB7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235DDB"/>
    <w:multiLevelType w:val="hybridMultilevel"/>
    <w:tmpl w:val="EA34884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767FAC"/>
    <w:multiLevelType w:val="multilevel"/>
    <w:tmpl w:val="A5D208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C179C"/>
    <w:multiLevelType w:val="multilevel"/>
    <w:tmpl w:val="A5D208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72EF7"/>
    <w:multiLevelType w:val="hybridMultilevel"/>
    <w:tmpl w:val="FCE204E0"/>
    <w:lvl w:ilvl="0" w:tplc="58BC7E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5973029"/>
    <w:multiLevelType w:val="multilevel"/>
    <w:tmpl w:val="A5D208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B63F3"/>
    <w:multiLevelType w:val="multilevel"/>
    <w:tmpl w:val="B8FAF33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onotype Corsiva" w:hAnsi="Arial" w:cs="Monotype Corsiv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28A10E-614A-4ABE-923C-6ECCF233AD09}"/>
    <w:docVar w:name="dgnword-eventsink" w:val="164662192"/>
  </w:docVars>
  <w:rsids>
    <w:rsidRoot w:val="003E1A3A"/>
    <w:rsid w:val="00001E86"/>
    <w:rsid w:val="00052FFE"/>
    <w:rsid w:val="000B0150"/>
    <w:rsid w:val="000B2E91"/>
    <w:rsid w:val="000B34B7"/>
    <w:rsid w:val="000B40D1"/>
    <w:rsid w:val="000E015D"/>
    <w:rsid w:val="000E11C4"/>
    <w:rsid w:val="000F0CB2"/>
    <w:rsid w:val="001136ED"/>
    <w:rsid w:val="0011406B"/>
    <w:rsid w:val="00134284"/>
    <w:rsid w:val="001724A5"/>
    <w:rsid w:val="00177AF0"/>
    <w:rsid w:val="00183925"/>
    <w:rsid w:val="00186F82"/>
    <w:rsid w:val="001C002F"/>
    <w:rsid w:val="001E39B7"/>
    <w:rsid w:val="002300A6"/>
    <w:rsid w:val="002A7CD4"/>
    <w:rsid w:val="002C1C4B"/>
    <w:rsid w:val="00346C01"/>
    <w:rsid w:val="00350038"/>
    <w:rsid w:val="00352568"/>
    <w:rsid w:val="00360AF3"/>
    <w:rsid w:val="003C74F7"/>
    <w:rsid w:val="003E1A3A"/>
    <w:rsid w:val="003F5DBD"/>
    <w:rsid w:val="00410150"/>
    <w:rsid w:val="00440224"/>
    <w:rsid w:val="004629AA"/>
    <w:rsid w:val="00476452"/>
    <w:rsid w:val="004920FD"/>
    <w:rsid w:val="004A46A0"/>
    <w:rsid w:val="004B2369"/>
    <w:rsid w:val="004B5682"/>
    <w:rsid w:val="005358BF"/>
    <w:rsid w:val="0053609C"/>
    <w:rsid w:val="005675DD"/>
    <w:rsid w:val="00592C0D"/>
    <w:rsid w:val="005B569B"/>
    <w:rsid w:val="005C2DE8"/>
    <w:rsid w:val="005C5737"/>
    <w:rsid w:val="005E39EC"/>
    <w:rsid w:val="0061293C"/>
    <w:rsid w:val="00614C7A"/>
    <w:rsid w:val="006163E8"/>
    <w:rsid w:val="00675286"/>
    <w:rsid w:val="006D0B20"/>
    <w:rsid w:val="006D1832"/>
    <w:rsid w:val="00702247"/>
    <w:rsid w:val="00710112"/>
    <w:rsid w:val="00717FBA"/>
    <w:rsid w:val="00725FB1"/>
    <w:rsid w:val="007448DA"/>
    <w:rsid w:val="0077656F"/>
    <w:rsid w:val="00791533"/>
    <w:rsid w:val="0079301D"/>
    <w:rsid w:val="00797C8F"/>
    <w:rsid w:val="007B00DF"/>
    <w:rsid w:val="007B1DFB"/>
    <w:rsid w:val="007B1E78"/>
    <w:rsid w:val="007B7ED1"/>
    <w:rsid w:val="008351EF"/>
    <w:rsid w:val="008509FB"/>
    <w:rsid w:val="00852CBA"/>
    <w:rsid w:val="008717C6"/>
    <w:rsid w:val="00883F21"/>
    <w:rsid w:val="00884B43"/>
    <w:rsid w:val="00897EF4"/>
    <w:rsid w:val="008A5823"/>
    <w:rsid w:val="008A676D"/>
    <w:rsid w:val="008D5F30"/>
    <w:rsid w:val="00900233"/>
    <w:rsid w:val="00910932"/>
    <w:rsid w:val="00910D31"/>
    <w:rsid w:val="00944D0C"/>
    <w:rsid w:val="009B0E45"/>
    <w:rsid w:val="009B5EE3"/>
    <w:rsid w:val="009F0583"/>
    <w:rsid w:val="00A27D03"/>
    <w:rsid w:val="00A3474D"/>
    <w:rsid w:val="00A72643"/>
    <w:rsid w:val="00A875C5"/>
    <w:rsid w:val="00AC0832"/>
    <w:rsid w:val="00AD1060"/>
    <w:rsid w:val="00AE4186"/>
    <w:rsid w:val="00AF3106"/>
    <w:rsid w:val="00B11C89"/>
    <w:rsid w:val="00B21CF4"/>
    <w:rsid w:val="00B44E46"/>
    <w:rsid w:val="00B70215"/>
    <w:rsid w:val="00BA70B4"/>
    <w:rsid w:val="00BB186D"/>
    <w:rsid w:val="00BC4012"/>
    <w:rsid w:val="00BD1A2C"/>
    <w:rsid w:val="00BD4014"/>
    <w:rsid w:val="00BD4CE0"/>
    <w:rsid w:val="00C04747"/>
    <w:rsid w:val="00C86704"/>
    <w:rsid w:val="00C9635A"/>
    <w:rsid w:val="00C96ABD"/>
    <w:rsid w:val="00CB4DC9"/>
    <w:rsid w:val="00CC50DD"/>
    <w:rsid w:val="00CD6DE1"/>
    <w:rsid w:val="00CE297A"/>
    <w:rsid w:val="00D20703"/>
    <w:rsid w:val="00D41336"/>
    <w:rsid w:val="00D516D7"/>
    <w:rsid w:val="00D70F6C"/>
    <w:rsid w:val="00D830CF"/>
    <w:rsid w:val="00E27B87"/>
    <w:rsid w:val="00E33F00"/>
    <w:rsid w:val="00E504C7"/>
    <w:rsid w:val="00E81A55"/>
    <w:rsid w:val="00E86066"/>
    <w:rsid w:val="00EC1098"/>
    <w:rsid w:val="00F04D66"/>
    <w:rsid w:val="00F3785F"/>
    <w:rsid w:val="00F50D4B"/>
    <w:rsid w:val="00F53170"/>
    <w:rsid w:val="00F6076C"/>
    <w:rsid w:val="00FA0787"/>
    <w:rsid w:val="00FD37A0"/>
    <w:rsid w:val="00FD4299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299"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7022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022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rsid w:val="000E015D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A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500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003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50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003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50038"/>
    <w:rPr>
      <w:rFonts w:cs="Times New Roman"/>
      <w:b/>
      <w:bCs/>
      <w:sz w:val="20"/>
      <w:szCs w:val="20"/>
    </w:rPr>
  </w:style>
  <w:style w:type="character" w:styleId="Hyperlink">
    <w:name w:val="Hyperlink"/>
    <w:rsid w:val="00D83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299"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rsid w:val="007022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022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rsid w:val="000E015D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A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500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003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50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003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50038"/>
    <w:rPr>
      <w:rFonts w:cs="Times New Roman"/>
      <w:b/>
      <w:bCs/>
      <w:sz w:val="20"/>
      <w:szCs w:val="20"/>
    </w:rPr>
  </w:style>
  <w:style w:type="character" w:styleId="Hyperlink">
    <w:name w:val="Hyperlink"/>
    <w:rsid w:val="00D8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purposes of SickKids Staff Immunization &amp; Surveillance Policy, the term "Staff" refers to all persons carrying out wor</vt:lpstr>
    </vt:vector>
  </TitlesOfParts>
  <Company>Mount Sinai Hospital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purposes of SickKids Staff Immunization &amp; Surveillance Policy, the term "Staff" refers to all persons carrying out wor</dc:title>
  <dc:creator>Jennifer Swales</dc:creator>
  <cp:lastModifiedBy>Katherine Brown</cp:lastModifiedBy>
  <cp:revision>2</cp:revision>
  <cp:lastPrinted>2015-08-05T20:22:00Z</cp:lastPrinted>
  <dcterms:created xsi:type="dcterms:W3CDTF">2016-05-02T19:44:00Z</dcterms:created>
  <dcterms:modified xsi:type="dcterms:W3CDTF">2016-05-02T19:44:00Z</dcterms:modified>
</cp:coreProperties>
</file>